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40" w:before="0"/>
      </w:pPr>
      <w:r>
        <w:drawing>
          <wp:inline distT="0" distB="0" distL="0" distR="0">
            <wp:extent cx="990600" cy="2095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70" w:before="0"/>
      </w:pPr>
      <w:r>
        <w:rPr>
          <w:rFonts w:ascii="Arial" w:cs="Arial" w:eastAsia="Arial" w:hAnsi="Arial"/>
          <w:color w:val="0B0C0A"/>
          <w:sz w:val="38"/>
          <w:szCs w:val="38"/>
        </w:rPr>
        <w:t xml:space="preserve">RFP Scoring Matrix</w:t>
      </w:r>
    </w:p>
    <w:p>
      <w:pPr>
        <w:spacing w:after="90" w:before="0"/>
      </w:pPr>
      <w:r>
        <w:rPr>
          <w:rFonts w:ascii="Arial" w:cs="Arial" w:eastAsia="Arial" w:hAnsi="Arial"/>
          <w:i w:val="false"/>
          <w:iCs w:val="false"/>
          <w:color w:val="3B3D38"/>
          <w:sz w:val="18"/>
          <w:szCs w:val="18"/>
        </w:rPr>
        <w:t xml:space="preserve">A weighted scorecard for comparing website proposals. Unweighted comparison quietly becomes a price comparison; weighting forces the criteria that predict a good outcome to count for more than the number at the bottom of the quote.</w:t>
      </w:r>
    </w:p>
    <w:p>
      <w:pPr>
        <w:spacing w:after="220" w:before="0"/>
      </w:pPr>
      <w:r>
        <w:rPr>
          <w:rFonts w:ascii="Arial" w:cs="Arial" w:eastAsia="Arial" w:hAnsi="Arial"/>
          <w:i/>
          <w:iCs/>
          <w:color w:val="7C7F77"/>
          <w:sz w:val="18"/>
          <w:szCs w:val="18"/>
        </w:rPr>
        <w:t xml:space="preserve">How to use it: score each proposal 1 to 5 per row, multiply by the weight, and total the column. The weights are prefilled for a typical B2B website project and are meant to be edited. Change them before you score, not after, or the winner picks the weights.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080"/>
        <w:gridCol w:w="1500"/>
        <w:gridCol w:w="1500"/>
        <w:gridCol w:w="1500"/>
        <w:gridCol w:w="1500"/>
      </w:tblGrid>
      <w:tr>
        <w:trPr>
          <w:tblHeader/>
        </w:trPr>
        <w:tc>
          <w:tcPr>
            <w:tcW w:type="dxa" w:w="408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Criterion</w:t>
            </w:r>
          </w:p>
        </w:tc>
        <w:tc>
          <w:tcPr>
            <w:tcW w:type="dxa" w:w="15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Weight %</w:t>
            </w:r>
          </w:p>
        </w:tc>
        <w:tc>
          <w:tcPr>
            <w:tcW w:type="dxa" w:w="15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Proposal A</w:t>
            </w:r>
          </w:p>
        </w:tc>
        <w:tc>
          <w:tcPr>
            <w:tcW w:type="dxa" w:w="15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Proposal B</w:t>
            </w:r>
          </w:p>
        </w:tc>
        <w:tc>
          <w:tcPr>
            <w:tcW w:type="dxa" w:w="15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Proposal C</w:t>
            </w:r>
          </w:p>
        </w:tc>
      </w:tr>
      <w:tr>
        <w:tc>
          <w:tcPr>
            <w:tcW w:type="dxa" w:w="408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B3D38"/>
                <w:sz w:val="18"/>
                <w:szCs w:val="18"/>
              </w:rPr>
              <w:t xml:space="preserve">Understood the actual problem: the proposal names what is costing you buyers, with evidence</w:t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20</w:t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08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B3D38"/>
                <w:sz w:val="18"/>
                <w:szCs w:val="18"/>
              </w:rPr>
              <w:t xml:space="preserve">Relevant work: a comparable project with outcomes, not a gallery</w:t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15</w:t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08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B3D38"/>
                <w:sz w:val="18"/>
                <w:szCs w:val="18"/>
              </w:rPr>
              <w:t xml:space="preserve">Content plan: who writes it, who interviews your team, who owns the deadline</w:t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15</w:t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08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B3D38"/>
                <w:sz w:val="18"/>
                <w:szCs w:val="18"/>
              </w:rPr>
              <w:t xml:space="preserve">SEO migration: a named plan for redirects and preserving current rankings</w:t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15</w:t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08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B3D38"/>
                <w:sz w:val="18"/>
                <w:szCs w:val="18"/>
              </w:rPr>
              <w:t xml:space="preserve">Team and continuity: who does the work, and what happens if they leave</w:t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10</w:t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08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B3D38"/>
                <w:sz w:val="18"/>
                <w:szCs w:val="18"/>
              </w:rPr>
              <w:t xml:space="preserve">Timeline realism: milestones that survive contact with your availability</w:t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10</w:t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08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B3D38"/>
                <w:sz w:val="18"/>
                <w:szCs w:val="18"/>
              </w:rPr>
              <w:t xml:space="preserve">Ownership: code, content, domain and accounts in your name at the end</w:t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10</w:t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08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B3D38"/>
                <w:sz w:val="18"/>
                <w:szCs w:val="18"/>
              </w:rPr>
              <w:t xml:space="preserve">Price completeness: what is excluded, and the cost of the exclusions</w:t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>5</w:t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08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7C7F77"/>
                <w:sz w:val="18"/>
                <w:szCs w:val="18"/>
              </w:rPr>
              <w:t xml:space="preserve">Total (out of 500)</w:t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</w:tr>
    </w:tbl>
    <w:p>
      <w:pPr>
        <w:spacing w:after="90" w:before="300"/>
      </w:pPr>
      <w:r>
        <w:rPr>
          <w:rFonts w:ascii="Arial" w:cs="Arial" w:eastAsia="Arial" w:hAnsi="Arial"/>
          <w:color w:val="3B3D38"/>
          <w:sz w:val="18"/>
          <w:szCs w:val="18"/>
        </w:rPr>
        <w:t xml:space="preserve">When the cheapest proposal scores highest, check one thing before you celebrate: the exclusions row. The most common reason a low quote wins on paper is that content, redirects and post-launch support are not in it, and each returns as an invoice later.</w:t>
      </w:r>
    </w:p>
    <w:p>
      <w:pPr>
        <w:spacing w:after="90" w:before="0"/>
      </w:pPr>
      <w:r>
        <w:rPr>
          <w:rFonts w:ascii="Arial" w:cs="Arial" w:eastAsia="Arial" w:hAnsi="Arial"/>
          <w:i w:val="false"/>
          <w:iCs w:val="false"/>
          <w:color w:val="3B3D38"/>
          <w:sz w:val="18"/>
          <w:szCs w:val="18"/>
        </w:rPr>
        <w:t xml:space="preserve">Scores within about ten percent of each other are a tie. Break ties with the reference call and with which team asked you the better questions, in that order.</w:t>
      </w:r>
    </w:p>
    <w:p>
      <w:pPr>
        <w:pBdr>
          <w:top w:val="single" w:color="D8DDE4" w:sz="4"/>
        </w:pBdr>
        <w:spacing w:after="0" w:before="320"/>
      </w:pPr>
      <w:r>
        <w:rPr>
          <w:rFonts w:ascii="Arial" w:cs="Arial" w:eastAsia="Arial" w:hAnsi="Arial"/>
          <w:color w:val="7C7F77"/>
          <w:sz w:val="16"/>
          <w:szCs w:val="16"/>
        </w:rPr>
        <w:t xml:space="preserve">Alkali builds websites for established B2B companies. 100+ businesses served, no call required. byalkali.com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B3D38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e451ab6f7959ff03949313bd46e6e8d98ba676fb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2026-08-16T03:53:22.582Z</dcterms:created>
  <dcterms:modified xsi:type="dcterms:W3CDTF">2026-08-16T03:53:22.582Z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